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Trajan Pro" w:cs="Trajan Pro" w:eastAsia="Trajan Pro" w:hAnsi="Trajan Pro"/>
          <w:sz w:val="44"/>
          <w:szCs w:val="44"/>
          <w:rtl w:val="0"/>
        </w:rPr>
        <w:t xml:space="preserve">Lesson Plan Template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5486400</wp:posOffset>
            </wp:positionH>
            <wp:positionV relativeFrom="paragraph">
              <wp:posOffset>-114299</wp:posOffset>
            </wp:positionV>
            <wp:extent cx="996315" cy="996315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0"/>
          <w:sz w:val="28"/>
          <w:szCs w:val="28"/>
          <w:rtl w:val="0"/>
        </w:rPr>
        <w:t xml:space="preserve">Journey House, Inc. CLC Program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7740.0" w:type="dxa"/>
        <w:jc w:val="left"/>
        <w:tblInd w:w="-9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20"/>
        <w:gridCol w:w="3780"/>
        <w:gridCol w:w="720"/>
        <w:gridCol w:w="1620"/>
        <w:tblGridChange w:id="0">
          <w:tblGrid>
            <w:gridCol w:w="1620"/>
            <w:gridCol w:w="3780"/>
            <w:gridCol w:w="720"/>
            <w:gridCol w:w="16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Leader: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7912"/>
        <w:tblGridChange w:id="0">
          <w:tblGrid>
            <w:gridCol w:w="3104"/>
            <w:gridCol w:w="7912"/>
          </w:tblGrid>
        </w:tblGridChange>
      </w:tblGrid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Measurable student learning (not activities).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Student-friendly language.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before="0" w:line="259" w:lineRule="auto"/>
              <w:ind w:left="36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Students will</w:t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Key Points: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Central ideas from the lesson.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What might students have difficulty with?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Exit Assessment: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will you know if the learning objectives above were achieved?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Heart of the Lesson (Agenda):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Outline or bullet-point format.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Lists time-stamped, objectives-aligned learning activities that will guide learning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Key-point-aligned CFUs (Checks for Understanding) written in bold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360" w:hanging="36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Begins with an Activator and ends with an Exit Assessment (Summarizer)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Necessary Materials: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Reflection: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What were the most successful parts of the lesson?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before="0" w:line="259" w:lineRule="auto"/>
              <w:ind w:left="36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What will you do differently next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al"/>
  <w:font w:name="Rokkitt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Quattrocento Sans" w:cs="Quattrocento Sans" w:eastAsia="Quattrocento Sans" w:hAnsi="Quattrocento Sans"/>
        <w:b w:val="0"/>
        <w:sz w:val="22"/>
        <w:szCs w:val="22"/>
        <w:rtl w:val="0"/>
      </w:rPr>
      <w:t xml:space="preserve">Adapted from Cristo Rey Jesuit High School Milwaukee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0" w:line="259" w:lineRule="auto"/>
    </w:pPr>
    <w:rPr>
      <w:rFonts w:ascii="Rokkitt" w:cs="Rokkitt" w:eastAsia="Rokkitt" w:hAnsi="Rokkit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0" w:line="259" w:lineRule="auto"/>
    </w:pPr>
    <w:rPr>
      <w:rFonts w:ascii="Quattrocento Sans" w:cs="Quattrocento Sans" w:eastAsia="Quattrocento Sans" w:hAnsi="Quattrocento Sans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60" w:before="0" w:line="259" w:lineRule="auto"/>
    </w:pPr>
    <w:rPr>
      <w:rFonts w:ascii="Quattrocento Sans" w:cs="Quattrocento Sans" w:eastAsia="Quattrocento Sans" w:hAnsi="Quattrocento Sans"/>
      <w:b w:val="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16" w:lineRule="auto"/>
    </w:pPr>
    <w:rPr>
      <w:rFonts w:ascii="Rokkitt" w:cs="Rokkitt" w:eastAsia="Rokkitt" w:hAnsi="Rokkitt"/>
      <w:b w:val="1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