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Meeting Template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In order to respect the time of all staff, we will strive to hold productive and efficient meetings. This template is suggested for any meeting expected to exceed 15 minutes.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8"/>
          <w:szCs w:val="28"/>
          <w:u w:val="single"/>
          <w:rtl w:val="0"/>
        </w:rPr>
        <w:t xml:space="preserve">Facilitator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: [Name Here]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The facilitator will be responsible for creating the agenda, keeping the group on-track, recording action items, and sending out the follow-up e-mail.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8"/>
          <w:szCs w:val="28"/>
          <w:u w:val="single"/>
          <w:rtl w:val="0"/>
        </w:rPr>
        <w:t xml:space="preserve">Objectives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What decisions need to be made and what specifically will be accomplished during the meeting?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8"/>
          <w:szCs w:val="28"/>
          <w:u w:val="single"/>
          <w:rtl w:val="0"/>
        </w:rPr>
        <w:t xml:space="preserve">Agenda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Meeting begins [X:00 pm] (please be a few minutes early)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Opening reflection, breathing, or check-in  [X:00-X:03]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Objectives and agenda overview [X:03-X:05]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Item 1 [X:05-X:20]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Item 2 [X:20-X:35]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Item 3 [X:35-X:50]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Objective and action item review [X:50-X:55]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8"/>
          <w:szCs w:val="28"/>
          <w:u w:val="single"/>
          <w:rtl w:val="0"/>
        </w:rPr>
        <w:t xml:space="preserve">Action Items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Person 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Item Name, description [due by X/X]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Person B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Item Name, description [due by X/X]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Item Name, description [due by X/X]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8"/>
          <w:szCs w:val="28"/>
          <w:u w:val="single"/>
          <w:rtl w:val="0"/>
        </w:rPr>
        <w:t xml:space="preserve">Notes/Summary of Decisions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Follow-up email with notes and action items should be sent by facilitator within one business day.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